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F4" w:rsidRDefault="00352BF4"/>
    <w:p w:rsidR="00352BF4" w:rsidRPr="00352BF4" w:rsidRDefault="00352BF4" w:rsidP="00352BF4">
      <w:pPr>
        <w:spacing w:after="0"/>
        <w:ind w:firstLine="131"/>
        <w:jc w:val="center"/>
        <w:rPr>
          <w:rFonts w:ascii="Times New Roman" w:hAnsi="Times New Roman" w:cs="Times New Roman"/>
          <w:sz w:val="28"/>
          <w:szCs w:val="28"/>
        </w:rPr>
      </w:pPr>
      <w:r w:rsidRPr="00352BF4">
        <w:rPr>
          <w:rFonts w:ascii="Times New Roman" w:hAnsi="Times New Roman" w:cs="Times New Roman"/>
          <w:sz w:val="28"/>
          <w:szCs w:val="28"/>
        </w:rPr>
        <w:t>Муниципальное бюджетное дошкольное образовательное учреждение «Детский сад № 1 пгт. Кировский Кировского района»</w:t>
      </w:r>
    </w:p>
    <w:p w:rsidR="00352BF4" w:rsidRPr="00352BF4" w:rsidRDefault="00352BF4" w:rsidP="00352BF4">
      <w:pPr>
        <w:spacing w:after="0"/>
        <w:ind w:firstLine="131"/>
        <w:jc w:val="right"/>
        <w:rPr>
          <w:rFonts w:ascii="Times New Roman" w:hAnsi="Times New Roman" w:cs="Times New Roman"/>
          <w:sz w:val="28"/>
          <w:szCs w:val="28"/>
        </w:rPr>
      </w:pPr>
      <w:r w:rsidRPr="00352BF4">
        <w:rPr>
          <w:rFonts w:ascii="Times New Roman" w:hAnsi="Times New Roman" w:cs="Times New Roman"/>
          <w:sz w:val="28"/>
          <w:szCs w:val="28"/>
        </w:rPr>
        <w:t>Утверждаю</w:t>
      </w:r>
    </w:p>
    <w:p w:rsidR="00352BF4" w:rsidRPr="00352BF4" w:rsidRDefault="00352BF4" w:rsidP="00352BF4">
      <w:pPr>
        <w:spacing w:after="0"/>
        <w:ind w:firstLine="131"/>
        <w:jc w:val="right"/>
        <w:rPr>
          <w:rFonts w:ascii="Times New Roman" w:hAnsi="Times New Roman" w:cs="Times New Roman"/>
          <w:sz w:val="28"/>
          <w:szCs w:val="28"/>
        </w:rPr>
      </w:pPr>
      <w:r w:rsidRPr="00352BF4">
        <w:rPr>
          <w:rFonts w:ascii="Times New Roman" w:hAnsi="Times New Roman" w:cs="Times New Roman"/>
          <w:sz w:val="28"/>
          <w:szCs w:val="28"/>
        </w:rPr>
        <w:t>Заведующий МБДОУ «Д/С № 1 пгт. Кировский»</w:t>
      </w:r>
    </w:p>
    <w:p w:rsidR="00352BF4" w:rsidRPr="00352BF4" w:rsidRDefault="00352BF4" w:rsidP="00352BF4">
      <w:pPr>
        <w:spacing w:after="0"/>
        <w:ind w:firstLine="131"/>
        <w:jc w:val="right"/>
        <w:rPr>
          <w:rFonts w:ascii="Times New Roman" w:hAnsi="Times New Roman" w:cs="Times New Roman"/>
          <w:sz w:val="28"/>
          <w:szCs w:val="28"/>
        </w:rPr>
      </w:pPr>
      <w:r w:rsidRPr="00352BF4">
        <w:rPr>
          <w:rFonts w:ascii="Times New Roman" w:hAnsi="Times New Roman" w:cs="Times New Roman"/>
          <w:sz w:val="28"/>
          <w:szCs w:val="28"/>
        </w:rPr>
        <w:t>_____________ _____</w:t>
      </w:r>
    </w:p>
    <w:p w:rsidR="00352BF4" w:rsidRPr="00352BF4" w:rsidRDefault="00352BF4" w:rsidP="00352BF4">
      <w:pPr>
        <w:spacing w:after="0"/>
        <w:ind w:firstLine="131"/>
        <w:jc w:val="right"/>
        <w:rPr>
          <w:rFonts w:ascii="Times New Roman" w:hAnsi="Times New Roman" w:cs="Times New Roman"/>
          <w:sz w:val="28"/>
          <w:szCs w:val="28"/>
        </w:rPr>
      </w:pPr>
      <w:r w:rsidRPr="00352BF4">
        <w:rPr>
          <w:rFonts w:ascii="Times New Roman" w:hAnsi="Times New Roman" w:cs="Times New Roman"/>
          <w:sz w:val="28"/>
          <w:szCs w:val="28"/>
        </w:rPr>
        <w:t>« ___» _________ 20___ г.</w:t>
      </w:r>
    </w:p>
    <w:p w:rsidR="00352BF4" w:rsidRPr="00352BF4" w:rsidRDefault="00352BF4" w:rsidP="00352BF4">
      <w:pPr>
        <w:spacing w:after="0"/>
        <w:ind w:firstLine="131"/>
        <w:jc w:val="right"/>
        <w:rPr>
          <w:rFonts w:ascii="Times New Roman" w:hAnsi="Times New Roman" w:cs="Times New Roman"/>
          <w:sz w:val="28"/>
          <w:szCs w:val="28"/>
        </w:rPr>
      </w:pPr>
    </w:p>
    <w:p w:rsidR="00352BF4" w:rsidRPr="00352BF4" w:rsidRDefault="00352BF4" w:rsidP="00352BF4">
      <w:pPr>
        <w:tabs>
          <w:tab w:val="left" w:pos="5760"/>
        </w:tabs>
        <w:rPr>
          <w:rFonts w:ascii="Times New Roman" w:hAnsi="Times New Roman" w:cs="Times New Roman"/>
          <w:b/>
          <w:sz w:val="28"/>
          <w:szCs w:val="28"/>
        </w:rPr>
      </w:pPr>
      <w:r w:rsidRPr="00352BF4">
        <w:rPr>
          <w:rFonts w:ascii="Times New Roman" w:hAnsi="Times New Roman" w:cs="Times New Roman"/>
          <w:b/>
          <w:sz w:val="28"/>
          <w:szCs w:val="28"/>
        </w:rPr>
        <w:t>Программа проведения вводного инструктажа по охране труда</w:t>
      </w:r>
    </w:p>
    <w:tbl>
      <w:tblPr>
        <w:tblStyle w:val="a3"/>
        <w:tblW w:w="0" w:type="auto"/>
        <w:tblLook w:val="04A0"/>
      </w:tblPr>
      <w:tblGrid>
        <w:gridCol w:w="675"/>
        <w:gridCol w:w="3119"/>
        <w:gridCol w:w="5777"/>
      </w:tblGrid>
      <w:tr w:rsidR="00352BF4" w:rsidRPr="00352BF4" w:rsidTr="005D09B4">
        <w:tc>
          <w:tcPr>
            <w:tcW w:w="675" w:type="dxa"/>
          </w:tcPr>
          <w:p w:rsidR="00352BF4" w:rsidRPr="00352BF4" w:rsidRDefault="00352BF4" w:rsidP="005D09B4">
            <w:pPr>
              <w:tabs>
                <w:tab w:val="left" w:pos="5760"/>
              </w:tabs>
              <w:jc w:val="center"/>
              <w:rPr>
                <w:rFonts w:ascii="Times New Roman" w:hAnsi="Times New Roman" w:cs="Times New Roman"/>
                <w:sz w:val="28"/>
                <w:szCs w:val="28"/>
              </w:rPr>
            </w:pPr>
            <w:r w:rsidRPr="00352BF4">
              <w:rPr>
                <w:rFonts w:ascii="Times New Roman" w:hAnsi="Times New Roman" w:cs="Times New Roman"/>
                <w:sz w:val="28"/>
                <w:szCs w:val="28"/>
              </w:rPr>
              <w:t xml:space="preserve">№ </w:t>
            </w:r>
            <w:proofErr w:type="spellStart"/>
            <w:r w:rsidRPr="00352BF4">
              <w:rPr>
                <w:rFonts w:ascii="Times New Roman" w:hAnsi="Times New Roman" w:cs="Times New Roman"/>
                <w:sz w:val="28"/>
                <w:szCs w:val="28"/>
              </w:rPr>
              <w:t>п</w:t>
            </w:r>
            <w:proofErr w:type="spellEnd"/>
            <w:r w:rsidRPr="00352BF4">
              <w:rPr>
                <w:rFonts w:ascii="Times New Roman" w:hAnsi="Times New Roman" w:cs="Times New Roman"/>
                <w:sz w:val="28"/>
                <w:szCs w:val="28"/>
              </w:rPr>
              <w:t>/</w:t>
            </w:r>
            <w:proofErr w:type="spellStart"/>
            <w:r w:rsidRPr="00352BF4">
              <w:rPr>
                <w:rFonts w:ascii="Times New Roman" w:hAnsi="Times New Roman" w:cs="Times New Roman"/>
                <w:sz w:val="28"/>
                <w:szCs w:val="28"/>
              </w:rPr>
              <w:t>п</w:t>
            </w:r>
            <w:proofErr w:type="spellEnd"/>
          </w:p>
        </w:tc>
        <w:tc>
          <w:tcPr>
            <w:tcW w:w="3119" w:type="dxa"/>
          </w:tcPr>
          <w:p w:rsidR="00352BF4" w:rsidRPr="00352BF4" w:rsidRDefault="00352BF4" w:rsidP="005D09B4">
            <w:pPr>
              <w:tabs>
                <w:tab w:val="left" w:pos="5760"/>
              </w:tabs>
              <w:jc w:val="center"/>
              <w:rPr>
                <w:rFonts w:ascii="Times New Roman" w:hAnsi="Times New Roman" w:cs="Times New Roman"/>
                <w:sz w:val="28"/>
                <w:szCs w:val="28"/>
              </w:rPr>
            </w:pPr>
            <w:r w:rsidRPr="00352BF4">
              <w:rPr>
                <w:rFonts w:ascii="Times New Roman" w:hAnsi="Times New Roman" w:cs="Times New Roman"/>
                <w:sz w:val="28"/>
                <w:szCs w:val="28"/>
              </w:rPr>
              <w:t>Основные разделы вводного инструктажа</w:t>
            </w:r>
          </w:p>
        </w:tc>
        <w:tc>
          <w:tcPr>
            <w:tcW w:w="5777" w:type="dxa"/>
          </w:tcPr>
          <w:p w:rsidR="00352BF4" w:rsidRPr="00352BF4" w:rsidRDefault="00352BF4" w:rsidP="005D09B4">
            <w:pPr>
              <w:tabs>
                <w:tab w:val="left" w:pos="5760"/>
              </w:tabs>
              <w:jc w:val="center"/>
              <w:rPr>
                <w:rFonts w:ascii="Times New Roman" w:hAnsi="Times New Roman" w:cs="Times New Roman"/>
                <w:sz w:val="28"/>
                <w:szCs w:val="28"/>
              </w:rPr>
            </w:pPr>
            <w:r w:rsidRPr="00352BF4">
              <w:rPr>
                <w:rFonts w:ascii="Times New Roman" w:hAnsi="Times New Roman" w:cs="Times New Roman"/>
                <w:sz w:val="28"/>
                <w:szCs w:val="28"/>
              </w:rPr>
              <w:t>Вопросы, раскрываемые при вводном инструктаже на рабочем месте</w:t>
            </w:r>
          </w:p>
        </w:tc>
      </w:tr>
      <w:tr w:rsidR="00352BF4" w:rsidRPr="00352BF4" w:rsidTr="005D09B4">
        <w:tc>
          <w:tcPr>
            <w:tcW w:w="675" w:type="dxa"/>
          </w:tcPr>
          <w:p w:rsidR="00352BF4" w:rsidRPr="00352BF4" w:rsidRDefault="00352BF4" w:rsidP="005D09B4">
            <w:pPr>
              <w:tabs>
                <w:tab w:val="left" w:pos="5760"/>
              </w:tabs>
              <w:jc w:val="center"/>
              <w:rPr>
                <w:rFonts w:ascii="Times New Roman" w:hAnsi="Times New Roman" w:cs="Times New Roman"/>
                <w:sz w:val="28"/>
                <w:szCs w:val="28"/>
              </w:rPr>
            </w:pPr>
            <w:r w:rsidRPr="00352BF4">
              <w:rPr>
                <w:rFonts w:ascii="Times New Roman" w:hAnsi="Times New Roman" w:cs="Times New Roman"/>
                <w:sz w:val="28"/>
                <w:szCs w:val="28"/>
              </w:rPr>
              <w:t>1</w:t>
            </w:r>
          </w:p>
        </w:tc>
        <w:tc>
          <w:tcPr>
            <w:tcW w:w="3119" w:type="dxa"/>
          </w:tcPr>
          <w:p w:rsidR="00352BF4" w:rsidRPr="00352BF4" w:rsidRDefault="00352BF4" w:rsidP="005D09B4">
            <w:pPr>
              <w:tabs>
                <w:tab w:val="left" w:pos="5760"/>
              </w:tabs>
              <w:jc w:val="center"/>
              <w:rPr>
                <w:rFonts w:ascii="Times New Roman" w:hAnsi="Times New Roman" w:cs="Times New Roman"/>
                <w:sz w:val="28"/>
                <w:szCs w:val="28"/>
              </w:rPr>
            </w:pPr>
            <w:r w:rsidRPr="00352BF4">
              <w:rPr>
                <w:rFonts w:ascii="Times New Roman" w:hAnsi="Times New Roman" w:cs="Times New Roman"/>
                <w:sz w:val="28"/>
                <w:szCs w:val="28"/>
              </w:rPr>
              <w:t>2</w:t>
            </w:r>
          </w:p>
        </w:tc>
        <w:tc>
          <w:tcPr>
            <w:tcW w:w="5777" w:type="dxa"/>
          </w:tcPr>
          <w:p w:rsidR="00352BF4" w:rsidRPr="00352BF4" w:rsidRDefault="00352BF4" w:rsidP="005D09B4">
            <w:pPr>
              <w:tabs>
                <w:tab w:val="left" w:pos="5760"/>
              </w:tabs>
              <w:jc w:val="center"/>
              <w:rPr>
                <w:rFonts w:ascii="Times New Roman" w:hAnsi="Times New Roman" w:cs="Times New Roman"/>
                <w:sz w:val="28"/>
                <w:szCs w:val="28"/>
              </w:rPr>
            </w:pPr>
            <w:r w:rsidRPr="00352BF4">
              <w:rPr>
                <w:rFonts w:ascii="Times New Roman" w:hAnsi="Times New Roman" w:cs="Times New Roman"/>
                <w:sz w:val="28"/>
                <w:szCs w:val="28"/>
              </w:rPr>
              <w:t>3</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1</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Общие сведения об образовательном учреждении</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Наименование образовательного учреждения. Структура образовательного учреждения. Основные направления деятельности. Фамилии, конкретные должности администрации образовательного учреждения.</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2</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Трудовой договор, рабочее время и время отдыха</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Форма трудового договора, его содержание, основные условия. Изменение трудового договора. Прекращение трудового договора. Социальные гарантии. Страхование от несчастных случаев. Нормальная продолжительность рабочего времени. Неполное рабочее время. Продолжительность работы накануне нерабочих праздничных и выходных дней. Работы в ночное время. Работа за пределами нормальной продолжительности рабочего времени. Привлечение к сверхурочным работам. Перерывы для отдыха и питания. Виды времени и отдыха. Выходные дни. Ежегодные оплачиваемые отпуска. Вознаграждение за выслугу лет. Материальная помощь.</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3</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Охрана труда женщин и лиц моложе 18 лет</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Тяжелые работы т работы с вредными или опасными условиями труда, при выполнении которых запрещается применение труда женщин и лиц моложе 18 лет.</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4</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Правила внутреннего трудового распорядка</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Дисциплина труда. Основные права и обязанности работника. Меры поощрения и взыскания. Дисциплинарные взыскания.</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5</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 xml:space="preserve">Организация работы по </w:t>
            </w:r>
            <w:r w:rsidRPr="00352BF4">
              <w:rPr>
                <w:rFonts w:ascii="Times New Roman" w:hAnsi="Times New Roman" w:cs="Times New Roman"/>
                <w:sz w:val="28"/>
                <w:szCs w:val="28"/>
              </w:rPr>
              <w:lastRenderedPageBreak/>
              <w:t>охране труда</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lastRenderedPageBreak/>
              <w:t xml:space="preserve">Ведомственный, государственный надзор и </w:t>
            </w:r>
            <w:r w:rsidRPr="00352BF4">
              <w:rPr>
                <w:rFonts w:ascii="Times New Roman" w:hAnsi="Times New Roman" w:cs="Times New Roman"/>
                <w:sz w:val="28"/>
                <w:szCs w:val="28"/>
              </w:rPr>
              <w:lastRenderedPageBreak/>
              <w:t>общественный контроль за состоянием охраны труда. Система управления охраной труда. Службы охраны труда. Комиссия по охране труда. Обучение безопасным методам и приемам выполнения работ. Стажировка на рабочем месте. Инструкции по охране труда. Финансирование мероприятий по улучшению условий и охраны труда.</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lastRenderedPageBreak/>
              <w:t>6</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Общие правила поведения работающих на территории образовательного учреждения</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Расположение основных и вспомогательных помещений. Обеспечение порядка на рабочем месте.</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7</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Основные опасные и вредные производственные факторы</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Повышенный уровень шума. Недостаточная освещенность рабочего места. Опасный уровень напряжения в электрической цепи и т.п.</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8</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Методы и средства предупреждения несчастных случаев</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Характерные причины несчастных случаев. Мероприятия по  профилактике травматизма. Соблюдение требований инструкций по охране труда. Использование коллективных и индивидуальных средств защиты. Знаки безопасности, сигнализации. Мероприятия по улучшению условий и охраны труда.</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9</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Средства индивидуальной защиты</w:t>
            </w:r>
          </w:p>
        </w:tc>
        <w:tc>
          <w:tcPr>
            <w:tcW w:w="5777" w:type="dxa"/>
          </w:tcPr>
          <w:p w:rsidR="00352BF4" w:rsidRPr="00352BF4" w:rsidRDefault="00352BF4" w:rsidP="00352BF4">
            <w:pPr>
              <w:tabs>
                <w:tab w:val="left" w:pos="5760"/>
              </w:tabs>
              <w:rPr>
                <w:rFonts w:ascii="Times New Roman" w:hAnsi="Times New Roman" w:cs="Times New Roman"/>
                <w:sz w:val="28"/>
                <w:szCs w:val="28"/>
              </w:rPr>
            </w:pPr>
            <w:r>
              <w:rPr>
                <w:rFonts w:ascii="Times New Roman" w:hAnsi="Times New Roman" w:cs="Times New Roman"/>
                <w:sz w:val="28"/>
                <w:szCs w:val="28"/>
              </w:rPr>
              <w:t>Порядок и нормы выдачи СИЗ.</w:t>
            </w:r>
            <w:r w:rsidRPr="00352BF4">
              <w:rPr>
                <w:rFonts w:ascii="Times New Roman" w:hAnsi="Times New Roman" w:cs="Times New Roman"/>
                <w:sz w:val="28"/>
                <w:szCs w:val="28"/>
              </w:rPr>
              <w:t xml:space="preserve"> Требования, предъявляемые к СИЗ. Порядок списания спецодежды, </w:t>
            </w:r>
            <w:proofErr w:type="spellStart"/>
            <w:r w:rsidRPr="00352BF4">
              <w:rPr>
                <w:rFonts w:ascii="Times New Roman" w:hAnsi="Times New Roman" w:cs="Times New Roman"/>
                <w:sz w:val="28"/>
                <w:szCs w:val="28"/>
              </w:rPr>
              <w:t>спецобуви</w:t>
            </w:r>
            <w:proofErr w:type="spellEnd"/>
            <w:r w:rsidRPr="00352BF4">
              <w:rPr>
                <w:rFonts w:ascii="Times New Roman" w:hAnsi="Times New Roman" w:cs="Times New Roman"/>
                <w:sz w:val="28"/>
                <w:szCs w:val="28"/>
              </w:rPr>
              <w:t xml:space="preserve"> и других СИЗ.</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10</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 xml:space="preserve">Основные требования по предупреждению </w:t>
            </w:r>
            <w:proofErr w:type="spellStart"/>
            <w:r w:rsidRPr="00352BF4">
              <w:rPr>
                <w:rFonts w:ascii="Times New Roman" w:hAnsi="Times New Roman" w:cs="Times New Roman"/>
                <w:sz w:val="28"/>
                <w:szCs w:val="28"/>
              </w:rPr>
              <w:t>электротравматизма</w:t>
            </w:r>
            <w:proofErr w:type="spellEnd"/>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 xml:space="preserve">Обучение электротехнического персонала, обучение лиц, использующих электроинструмент и электрооборудование. Порядок допуска к эксплуатации электрооборудования электротехнического персонала. Проверка знаний персонала: электротехнического и </w:t>
            </w:r>
            <w:proofErr w:type="spellStart"/>
            <w:r w:rsidRPr="00352BF4">
              <w:rPr>
                <w:rFonts w:ascii="Times New Roman" w:hAnsi="Times New Roman" w:cs="Times New Roman"/>
                <w:sz w:val="28"/>
                <w:szCs w:val="28"/>
              </w:rPr>
              <w:t>неэлектротехнического</w:t>
            </w:r>
            <w:proofErr w:type="spellEnd"/>
            <w:r w:rsidRPr="00352BF4">
              <w:rPr>
                <w:rFonts w:ascii="Times New Roman" w:hAnsi="Times New Roman" w:cs="Times New Roman"/>
                <w:sz w:val="28"/>
                <w:szCs w:val="28"/>
              </w:rPr>
              <w:t xml:space="preserve">. Группа по </w:t>
            </w:r>
            <w:proofErr w:type="spellStart"/>
            <w:r w:rsidRPr="00352BF4">
              <w:rPr>
                <w:rFonts w:ascii="Times New Roman" w:hAnsi="Times New Roman" w:cs="Times New Roman"/>
                <w:sz w:val="28"/>
                <w:szCs w:val="28"/>
              </w:rPr>
              <w:t>электробезопасности</w:t>
            </w:r>
            <w:proofErr w:type="spellEnd"/>
            <w:r w:rsidRPr="00352BF4">
              <w:rPr>
                <w:rFonts w:ascii="Times New Roman" w:hAnsi="Times New Roman" w:cs="Times New Roman"/>
                <w:sz w:val="28"/>
                <w:szCs w:val="28"/>
              </w:rPr>
              <w:t>.</w:t>
            </w:r>
          </w:p>
          <w:p w:rsidR="00352BF4" w:rsidRPr="00352BF4" w:rsidRDefault="00352BF4" w:rsidP="005D09B4">
            <w:pPr>
              <w:tabs>
                <w:tab w:val="left" w:pos="5760"/>
              </w:tabs>
              <w:rPr>
                <w:rFonts w:ascii="Times New Roman" w:hAnsi="Times New Roman" w:cs="Times New Roman"/>
                <w:sz w:val="28"/>
                <w:szCs w:val="28"/>
              </w:rPr>
            </w:pP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11</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Основные требования производственной санитарии и личной гигиены</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Места для переодевания, отдыха, приема пищи, личной гигиены. Обеспечение работников моющими и обеззараживающими веществами и средствами личной гигиены. Знаки медицинского и санитарного назначения.</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12</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 xml:space="preserve">Обстоятельства и </w:t>
            </w:r>
            <w:r w:rsidRPr="00352BF4">
              <w:rPr>
                <w:rFonts w:ascii="Times New Roman" w:hAnsi="Times New Roman" w:cs="Times New Roman"/>
                <w:sz w:val="28"/>
                <w:szCs w:val="28"/>
              </w:rPr>
              <w:lastRenderedPageBreak/>
              <w:t>причины отдельных характерных несчастных случаев, аварий, пожаров и других аналогичных случаев из-за нарушений требований безопасности</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lastRenderedPageBreak/>
              <w:t xml:space="preserve">Падение с высоты, захламленность проходов, </w:t>
            </w:r>
            <w:r w:rsidRPr="00352BF4">
              <w:rPr>
                <w:rFonts w:ascii="Times New Roman" w:hAnsi="Times New Roman" w:cs="Times New Roman"/>
                <w:sz w:val="28"/>
                <w:szCs w:val="28"/>
              </w:rPr>
              <w:lastRenderedPageBreak/>
              <w:t>пренебрежение правилами дорожного движения, невыполнение требований инструкций по охране труда, курение в неположенных местах, неисправность электропроводки.</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lastRenderedPageBreak/>
              <w:t>13</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Порядок расследования и оформления несчастных случаев</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Комиссия по расследованию. Составление акта по форме Н-1 и Н-2. Определение степени вины пострадавшего. Журнал регистрации несчастных случаев. Степень тяжести.</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14</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Пожарная безопасность</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Профилактика причин возникновения пожара. Первичные средства пожаротушения, их содержание и эксплуатация. Обучение пожарной безопасности. Инструкция по пожарной безопасности. Схема эвакуации при пожаре, действия работников при возникновении пожара.</w:t>
            </w:r>
          </w:p>
        </w:tc>
      </w:tr>
      <w:tr w:rsidR="00352BF4" w:rsidRPr="00352BF4" w:rsidTr="005D09B4">
        <w:tc>
          <w:tcPr>
            <w:tcW w:w="675"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15</w:t>
            </w:r>
          </w:p>
        </w:tc>
        <w:tc>
          <w:tcPr>
            <w:tcW w:w="3119"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Первая помощь пострадавшим</w:t>
            </w:r>
          </w:p>
        </w:tc>
        <w:tc>
          <w:tcPr>
            <w:tcW w:w="5777" w:type="dxa"/>
          </w:tcPr>
          <w:p w:rsidR="00352BF4" w:rsidRPr="00352BF4" w:rsidRDefault="00352BF4" w:rsidP="005D09B4">
            <w:pPr>
              <w:tabs>
                <w:tab w:val="left" w:pos="5760"/>
              </w:tabs>
              <w:rPr>
                <w:rFonts w:ascii="Times New Roman" w:hAnsi="Times New Roman" w:cs="Times New Roman"/>
                <w:sz w:val="28"/>
                <w:szCs w:val="28"/>
              </w:rPr>
            </w:pPr>
            <w:r w:rsidRPr="00352BF4">
              <w:rPr>
                <w:rFonts w:ascii="Times New Roman" w:hAnsi="Times New Roman" w:cs="Times New Roman"/>
                <w:sz w:val="28"/>
                <w:szCs w:val="28"/>
              </w:rPr>
              <w:t>Инструкция по оказанию первой доврачебной помощи. Аптечка первой медицинской помощи. Последовательность действий при оказании первой помощи пострадавшему. Вызов скорой медицинской помощи.</w:t>
            </w:r>
          </w:p>
        </w:tc>
      </w:tr>
    </w:tbl>
    <w:p w:rsidR="00352BF4" w:rsidRPr="00352BF4" w:rsidRDefault="00352BF4" w:rsidP="00352BF4">
      <w:pPr>
        <w:tabs>
          <w:tab w:val="left" w:pos="5760"/>
        </w:tabs>
        <w:jc w:val="both"/>
        <w:rPr>
          <w:rFonts w:ascii="Times New Roman" w:hAnsi="Times New Roman" w:cs="Times New Roman"/>
          <w:sz w:val="28"/>
          <w:szCs w:val="28"/>
        </w:rPr>
      </w:pPr>
    </w:p>
    <w:p w:rsidR="00352BF4" w:rsidRPr="00352BF4" w:rsidRDefault="00352BF4" w:rsidP="00352BF4">
      <w:pPr>
        <w:tabs>
          <w:tab w:val="left" w:pos="5760"/>
        </w:tabs>
        <w:jc w:val="both"/>
        <w:rPr>
          <w:rFonts w:ascii="Times New Roman" w:hAnsi="Times New Roman" w:cs="Times New Roman"/>
          <w:sz w:val="28"/>
          <w:szCs w:val="28"/>
        </w:rPr>
      </w:pPr>
    </w:p>
    <w:p w:rsidR="00352BF4" w:rsidRPr="00352BF4" w:rsidRDefault="00352BF4" w:rsidP="00352BF4">
      <w:pPr>
        <w:tabs>
          <w:tab w:val="left" w:pos="5760"/>
        </w:tabs>
        <w:jc w:val="both"/>
        <w:rPr>
          <w:rFonts w:ascii="Times New Roman" w:hAnsi="Times New Roman" w:cs="Times New Roman"/>
          <w:sz w:val="28"/>
          <w:szCs w:val="28"/>
        </w:rPr>
      </w:pPr>
    </w:p>
    <w:p w:rsidR="00352BF4" w:rsidRDefault="00352BF4" w:rsidP="00352BF4">
      <w:pPr>
        <w:tabs>
          <w:tab w:val="left" w:pos="5760"/>
        </w:tabs>
        <w:jc w:val="both"/>
        <w:rPr>
          <w:sz w:val="28"/>
          <w:szCs w:val="28"/>
        </w:rPr>
      </w:pPr>
    </w:p>
    <w:p w:rsidR="00C14D36" w:rsidRPr="00352BF4" w:rsidRDefault="00C14D36" w:rsidP="00352BF4">
      <w:pPr>
        <w:rPr>
          <w:rFonts w:ascii="Times New Roman" w:hAnsi="Times New Roman" w:cs="Times New Roman"/>
          <w:sz w:val="28"/>
          <w:szCs w:val="28"/>
        </w:rPr>
      </w:pPr>
    </w:p>
    <w:sectPr w:rsidR="00C14D36" w:rsidRPr="00352B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52BF4"/>
    <w:rsid w:val="00352BF4"/>
    <w:rsid w:val="00C14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Тен</dc:creator>
  <cp:keywords/>
  <dc:description/>
  <cp:lastModifiedBy>Алексей Тен</cp:lastModifiedBy>
  <cp:revision>2</cp:revision>
  <dcterms:created xsi:type="dcterms:W3CDTF">2017-11-17T03:11:00Z</dcterms:created>
  <dcterms:modified xsi:type="dcterms:W3CDTF">2017-11-17T03:13:00Z</dcterms:modified>
</cp:coreProperties>
</file>